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5" w:lineRule="exact"/>
        <w:rPr>
          <w:sz w:val="24"/>
          <w:szCs w:val="24"/>
          <w:color w:val="auto"/>
        </w:rPr>
      </w:pPr>
    </w:p>
    <w:p>
      <w:pPr>
        <w:ind w:left="20"/>
        <w:spacing w:after="0"/>
        <w:rPr>
          <w:sz w:val="20"/>
          <w:szCs w:val="20"/>
          <w:color w:val="auto"/>
        </w:rPr>
      </w:pPr>
      <w:r>
        <w:rPr>
          <w:rFonts w:ascii="Arial" w:cs="Arial" w:eastAsia="Arial" w:hAnsi="Arial"/>
          <w:sz w:val="19"/>
          <w:szCs w:val="19"/>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5" w:lineRule="exact"/>
        <w:rPr>
          <w:sz w:val="24"/>
          <w:szCs w:val="24"/>
          <w:color w:val="auto"/>
        </w:rPr>
      </w:pPr>
    </w:p>
    <w:p>
      <w:pPr>
        <w:ind w:left="36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-217170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82"/>
              <w:spacing w:after="0" w:line="133"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6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2"/>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-585470</wp:posOffset>
            </wp:positionV>
            <wp:extent cx="55880"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880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-585470</wp:posOffset>
            </wp:positionV>
            <wp:extent cx="55880"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880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19685</wp:posOffset>
            </wp:positionV>
            <wp:extent cx="7002145" cy="947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9473565"/>
                    </a:xfrm>
                    <a:prstGeom prst="rect">
                      <a:avLst/>
                    </a:prstGeom>
                    <a:noFill/>
                  </pic:spPr>
                </pic:pic>
              </a:graphicData>
            </a:graphic>
          </wp:anchor>
        </w:drawing>
      </w:r>
    </w:p>
    <w:p>
      <w:pPr>
        <w:spacing w:after="0" w:line="95" w:lineRule="exact"/>
        <w:rPr>
          <w:sz w:val="24"/>
          <w:szCs w:val="24"/>
          <w:color w:val="auto"/>
        </w:rPr>
      </w:pPr>
    </w:p>
    <w:p>
      <w:pPr>
        <w:sectPr>
          <w:pgSz w:w="11900" w:h="16954" w:orient="portrait"/>
          <w:cols w:equalWidth="0" w:num="2">
            <w:col w:w="2120" w:space="640"/>
            <w:col w:w="8340"/>
          </w:cols>
          <w:pgMar w:left="440" w:top="217"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CG Subsidiary Holdings L.L.C.</w:t>
        </w:r>
      </w:hyperlink>
    </w:p>
    <w:p>
      <w:pPr>
        <w:spacing w:after="0" w:line="281"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460" w:type="dxa"/>
            <w:vAlign w:val="bottom"/>
          </w:tcPr>
          <w:p>
            <w:pPr>
              <w:ind w:left="260"/>
              <w:spacing w:after="0"/>
              <w:rPr>
                <w:sz w:val="20"/>
                <w:szCs w:val="20"/>
                <w:color w:val="auto"/>
              </w:rPr>
            </w:pPr>
            <w:r>
              <w:rPr>
                <w:rFonts w:ascii="Arial" w:cs="Arial" w:eastAsia="Arial" w:hAnsi="Arial"/>
                <w:sz w:val="12"/>
                <w:szCs w:val="12"/>
                <w:color w:val="auto"/>
              </w:rPr>
              <w:t>(Middle)</w:t>
            </w:r>
          </w:p>
        </w:tc>
      </w:tr>
      <w:tr>
        <w:trPr>
          <w:trHeight w:val="251"/>
        </w:trPr>
        <w:tc>
          <w:tcPr>
            <w:tcW w:w="4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0000FF"/>
              </w:rPr>
              <w:t>C/O THE CARLYLE GROUP</w:t>
            </w:r>
          </w:p>
        </w:tc>
        <w:tc>
          <w:tcPr>
            <w:tcW w:w="1460" w:type="dxa"/>
            <w:vAlign w:val="bottom"/>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0000FF"/>
              </w:rPr>
              <w:t>1001 PENNSYLVANIA AVE., N.W., SUITE 220S</w:t>
            </w:r>
          </w:p>
        </w:tc>
      </w:tr>
      <w:tr>
        <w:trPr>
          <w:trHeight w:val="139"/>
        </w:trPr>
        <w:tc>
          <w:tcPr>
            <w:tcW w:w="4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41"/>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WASHINGTON</w:t>
            </w:r>
          </w:p>
        </w:tc>
        <w:tc>
          <w:tcPr>
            <w:tcW w:w="1060" w:type="dxa"/>
            <w:vAlign w:val="bottom"/>
          </w:tcPr>
          <w:p>
            <w:pPr>
              <w:ind w:left="100"/>
              <w:spacing w:after="0"/>
              <w:rPr>
                <w:sz w:val="20"/>
                <w:szCs w:val="20"/>
                <w:color w:val="auto"/>
              </w:rPr>
            </w:pPr>
            <w:r>
              <w:rPr>
                <w:rFonts w:ascii="Arial" w:cs="Arial" w:eastAsia="Arial" w:hAnsi="Arial"/>
                <w:sz w:val="16"/>
                <w:szCs w:val="16"/>
                <w:color w:val="0000FF"/>
              </w:rPr>
              <w:t>DC</w:t>
            </w:r>
          </w:p>
        </w:tc>
        <w:tc>
          <w:tcPr>
            <w:tcW w:w="1460" w:type="dxa"/>
            <w:vAlign w:val="bottom"/>
          </w:tcPr>
          <w:p>
            <w:pPr>
              <w:ind w:left="260"/>
              <w:spacing w:after="0"/>
              <w:rPr>
                <w:sz w:val="20"/>
                <w:szCs w:val="20"/>
                <w:color w:val="auto"/>
              </w:rPr>
            </w:pPr>
            <w:r>
              <w:rPr>
                <w:rFonts w:ascii="Arial" w:cs="Arial" w:eastAsia="Arial" w:hAnsi="Arial"/>
                <w:sz w:val="16"/>
                <w:szCs w:val="16"/>
                <w:color w:val="0000FF"/>
              </w:rPr>
              <w:t>20004-2505</w:t>
            </w:r>
          </w:p>
        </w:tc>
      </w:tr>
      <w:tr>
        <w:trPr>
          <w:trHeight w:val="139"/>
        </w:trPr>
        <w:tc>
          <w:tcPr>
            <w:tcW w:w="4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7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460" w:type="dxa"/>
            <w:vAlign w:val="bottom"/>
          </w:tcPr>
          <w:p>
            <w:pPr>
              <w:ind w:left="26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2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292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7"/>
        </w:trPr>
        <w:tc>
          <w:tcPr>
            <w:tcW w:w="3820" w:type="dxa"/>
            <w:vAlign w:val="bottom"/>
            <w:gridSpan w:val="3"/>
          </w:tcPr>
          <w:p>
            <w:pPr>
              <w:ind w:left="60"/>
              <w:spacing w:after="0" w:line="127"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Carlyle Credit Income Fund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CCIF</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216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66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1260" w:type="dxa"/>
            <w:vAlign w:val="bottom"/>
            <w:vMerge w:val="restart"/>
          </w:tcPr>
          <w:p>
            <w:pPr>
              <w:ind w:left="180"/>
              <w:spacing w:after="0" w:line="148"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16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66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260" w:type="dxa"/>
            <w:vAlign w:val="bottom"/>
          </w:tcPr>
          <w:p>
            <w:pPr>
              <w:ind w:left="50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99"/>
        </w:trPr>
        <w:tc>
          <w:tcPr>
            <w:tcW w:w="2220" w:type="dxa"/>
            <w:vAlign w:val="bottom"/>
            <w:gridSpan w:val="2"/>
          </w:tcPr>
          <w:p>
            <w:pPr>
              <w:ind w:left="60"/>
              <w:spacing w:after="0"/>
              <w:rPr>
                <w:sz w:val="20"/>
                <w:szCs w:val="20"/>
                <w:color w:val="auto"/>
              </w:rPr>
            </w:pPr>
            <w:r>
              <w:rPr>
                <w:rFonts w:ascii="Arial" w:cs="Arial" w:eastAsia="Arial" w:hAnsi="Arial"/>
                <w:sz w:val="16"/>
                <w:szCs w:val="16"/>
                <w:color w:val="0000FF"/>
              </w:rPr>
              <w:t>08/28/2023</w:t>
            </w:r>
          </w:p>
        </w:tc>
        <w:tc>
          <w:tcPr>
            <w:tcW w:w="1600" w:type="dxa"/>
            <w:vAlign w:val="bottom"/>
          </w:tcPr>
          <w:p>
            <w:pPr>
              <w:spacing w:after="0"/>
              <w:rPr>
                <w:sz w:val="17"/>
                <w:szCs w:val="17"/>
                <w:color w:val="auto"/>
              </w:rPr>
            </w:pPr>
          </w:p>
        </w:tc>
        <w:tc>
          <w:tcPr>
            <w:tcW w:w="1660" w:type="dxa"/>
            <w:vAlign w:val="bottom"/>
          </w:tcPr>
          <w:p>
            <w:pPr>
              <w:ind w:left="600"/>
              <w:spacing w:after="0"/>
              <w:rPr>
                <w:sz w:val="20"/>
                <w:szCs w:val="20"/>
                <w:color w:val="auto"/>
              </w:rPr>
            </w:pPr>
            <w:r>
              <w:rPr>
                <w:rFonts w:ascii="Arial" w:cs="Arial" w:eastAsia="Arial" w:hAnsi="Arial"/>
                <w:sz w:val="12"/>
                <w:szCs w:val="12"/>
                <w:color w:val="auto"/>
              </w:rPr>
              <w:t>below)</w:t>
            </w:r>
          </w:p>
        </w:tc>
        <w:tc>
          <w:tcPr>
            <w:tcW w:w="1260" w:type="dxa"/>
            <w:vAlign w:val="bottom"/>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left="60"/>
        <w:spacing w:after="0"/>
        <w:tabs>
          <w:tab w:leader="none" w:pos="386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 Line)</w:t>
      </w:r>
    </w:p>
    <w:p>
      <w:pPr>
        <w:spacing w:after="0" w:line="30" w:lineRule="exact"/>
        <w:rPr>
          <w:sz w:val="24"/>
          <w:szCs w:val="24"/>
          <w:color w:val="auto"/>
        </w:rPr>
      </w:pPr>
    </w:p>
    <w:p>
      <w:pPr>
        <w:ind w:left="4420"/>
        <w:spacing w:after="0"/>
        <w:rPr>
          <w:sz w:val="20"/>
          <w:szCs w:val="20"/>
          <w:color w:val="auto"/>
        </w:rPr>
      </w:pPr>
      <w:r>
        <w:rPr>
          <w:rFonts w:ascii="Arial" w:cs="Arial" w:eastAsia="Arial" w:hAnsi="Arial"/>
          <w:sz w:val="12"/>
          <w:szCs w:val="12"/>
          <w:color w:val="auto"/>
        </w:rPr>
        <w:t>Form filed by One Reporting Person</w:t>
      </w:r>
    </w:p>
    <w:p>
      <w:pPr>
        <w:spacing w:after="0" w:line="11" w:lineRule="exact"/>
        <w:rPr>
          <w:sz w:val="24"/>
          <w:szCs w:val="24"/>
          <w:color w:val="auto"/>
        </w:rPr>
      </w:pPr>
    </w:p>
    <w:p>
      <w:pPr>
        <w:jc w:val="both"/>
        <w:ind w:left="4080"/>
        <w:spacing w:after="0"/>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185"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1" w:lineRule="exact"/>
        <w:rPr>
          <w:sz w:val="24"/>
          <w:szCs w:val="24"/>
          <w:color w:val="auto"/>
        </w:rPr>
      </w:pPr>
    </w:p>
    <w:p>
      <w:pPr>
        <w:ind w:left="300" w:right="580"/>
        <w:spacing w:after="0" w:line="25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954" w:orient="portrait"/>
          <w:cols w:equalWidth="0" w:num="2">
            <w:col w:w="3780" w:space="80"/>
            <w:col w:w="7240"/>
          </w:cols>
          <w:pgMar w:left="440" w:top="217" w:right="359" w:bottom="0" w:gutter="0" w:footer="0" w:header="0"/>
          <w:type w:val="continuous"/>
        </w:sectPr>
      </w:pPr>
    </w:p>
    <w:p>
      <w:pPr>
        <w:jc w:val="center"/>
        <w:ind w:righ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40" w:type="dxa"/>
            <w:vAlign w:val="bottom"/>
          </w:tcPr>
          <w:p>
            <w:pPr>
              <w:spacing w:after="0"/>
              <w:rPr>
                <w:sz w:val="12"/>
                <w:szCs w:val="12"/>
                <w:color w:val="auto"/>
              </w:rPr>
            </w:pPr>
          </w:p>
        </w:tc>
        <w:tc>
          <w:tcPr>
            <w:tcW w:w="1600" w:type="dxa"/>
            <w:vAlign w:val="bottom"/>
            <w:gridSpan w:val="3"/>
          </w:tcPr>
          <w:p>
            <w:pPr>
              <w:ind w:left="6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24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3"/>
          </w:tcPr>
          <w:p>
            <w:pPr>
              <w:ind w:left="660"/>
              <w:spacing w:after="0" w:line="119"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right"/>
              <w:ind w:right="2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3"/>
          </w:tcPr>
          <w:p>
            <w:pPr>
              <w:ind w:left="660"/>
              <w:spacing w:after="0" w:line="121"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 or Indirect</w:t>
            </w:r>
          </w:p>
        </w:tc>
        <w:tc>
          <w:tcPr>
            <w:tcW w:w="11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(I) (Instr. 4)</w:t>
            </w:r>
          </w:p>
        </w:tc>
        <w:tc>
          <w:tcPr>
            <w:tcW w:w="320" w:type="dxa"/>
            <w:vAlign w:val="bottom"/>
          </w:tcPr>
          <w:p>
            <w:pPr>
              <w:spacing w:after="0"/>
              <w:rPr>
                <w:sz w:val="10"/>
                <w:szCs w:val="10"/>
                <w:color w:val="auto"/>
              </w:rPr>
            </w:pPr>
          </w:p>
        </w:tc>
        <w:tc>
          <w:tcPr>
            <w:tcW w:w="3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2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Shares of Beneficial Interest</w:t>
            </w:r>
          </w:p>
        </w:tc>
        <w:tc>
          <w:tcPr>
            <w:tcW w:w="1740" w:type="dxa"/>
            <w:vAlign w:val="bottom"/>
            <w:tcBorders>
              <w:bottom w:val="single" w:sz="8" w:color="2C2C2C"/>
            </w:tcBorders>
            <w:gridSpan w:val="4"/>
          </w:tcPr>
          <w:p>
            <w:pPr>
              <w:ind w:left="900"/>
              <w:spacing w:after="0"/>
              <w:rPr>
                <w:sz w:val="20"/>
                <w:szCs w:val="20"/>
                <w:color w:val="auto"/>
              </w:rPr>
            </w:pPr>
            <w:r>
              <w:rPr>
                <w:rFonts w:ascii="Arial" w:cs="Arial" w:eastAsia="Arial" w:hAnsi="Arial"/>
                <w:sz w:val="16"/>
                <w:szCs w:val="16"/>
                <w:color w:val="0000FF"/>
              </w:rPr>
              <w:t>08/28/2023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3,012,049</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60" w:type="dxa"/>
            <w:vAlign w:val="bottom"/>
            <w:tcBorders>
              <w:bottom w:val="single" w:sz="8" w:color="2C2C2C"/>
            </w:tcBorders>
          </w:tcPr>
          <w:p>
            <w:pPr>
              <w:jc w:val="right"/>
              <w:ind w:right="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8.3</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2"/>
              </w:rPr>
              <w:t>3,012,049</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80"/>
              <w:spacing w:after="0" w:line="289" w:lineRule="exact"/>
              <w:rPr>
                <w:sz w:val="20"/>
                <w:szCs w:val="20"/>
                <w:color w:val="auto"/>
              </w:rPr>
            </w:pPr>
            <w:r>
              <w:rPr>
                <w:rFonts w:ascii="Arial" w:cs="Arial" w:eastAsia="Arial" w:hAnsi="Arial"/>
                <w:sz w:val="31"/>
                <w:szCs w:val="31"/>
                <w:color w:val="0000FF"/>
                <w:w w:val="86"/>
                <w:vertAlign w:val="subscript"/>
              </w:rPr>
              <w:t>D</w:t>
            </w:r>
            <w:r>
              <w:rPr>
                <w:rFonts w:ascii="Arial" w:cs="Arial" w:eastAsia="Arial" w:hAnsi="Arial"/>
                <w:sz w:val="10"/>
                <w:szCs w:val="10"/>
                <w:color w:val="008000"/>
                <w:w w:val="86"/>
              </w:rPr>
              <w:t>(1)(4)</w:t>
            </w:r>
          </w:p>
        </w:tc>
        <w:tc>
          <w:tcPr>
            <w:tcW w:w="3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420" w:type="dxa"/>
            <w:vAlign w:val="bottom"/>
            <w:gridSpan w:val="6"/>
            <w:vMerge w:val="restart"/>
          </w:tcPr>
          <w:p>
            <w:pPr>
              <w:ind w:left="60"/>
              <w:spacing w:after="0"/>
              <w:rPr>
                <w:sz w:val="20"/>
                <w:szCs w:val="20"/>
                <w:color w:val="auto"/>
              </w:rPr>
            </w:pPr>
            <w:r>
              <w:rPr>
                <w:rFonts w:ascii="Arial" w:cs="Arial" w:eastAsia="Arial" w:hAnsi="Arial"/>
                <w:sz w:val="16"/>
                <w:szCs w:val="16"/>
                <w:color w:val="0000FF"/>
              </w:rPr>
              <w:t>Shares of Beneficial Interest</w:t>
            </w:r>
          </w:p>
        </w:tc>
        <w:tc>
          <w:tcPr>
            <w:tcW w:w="1740" w:type="dxa"/>
            <w:vAlign w:val="bottom"/>
            <w:gridSpan w:val="4"/>
            <w:vMerge w:val="restart"/>
          </w:tcPr>
          <w:p>
            <w:pPr>
              <w:ind w:left="900"/>
              <w:spacing w:after="0"/>
              <w:rPr>
                <w:sz w:val="20"/>
                <w:szCs w:val="20"/>
                <w:color w:val="auto"/>
              </w:rPr>
            </w:pPr>
            <w:r>
              <w:rPr>
                <w:rFonts w:ascii="Arial" w:cs="Arial" w:eastAsia="Arial" w:hAnsi="Arial"/>
                <w:sz w:val="16"/>
                <w:szCs w:val="16"/>
                <w:color w:val="0000FF"/>
              </w:rPr>
              <w:t>08/28/2023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0000FF"/>
              </w:rPr>
              <w:t>P</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504,042</w:t>
            </w:r>
          </w:p>
        </w:tc>
        <w:tc>
          <w:tcPr>
            <w:tcW w:w="60" w:type="dxa"/>
            <w:vAlign w:val="bottom"/>
          </w:tcPr>
          <w:p>
            <w:pPr>
              <w:spacing w:after="0"/>
              <w:rPr>
                <w:sz w:val="20"/>
                <w:szCs w:val="20"/>
                <w:color w:val="auto"/>
              </w:rPr>
            </w:pPr>
          </w:p>
        </w:tc>
        <w:tc>
          <w:tcPr>
            <w:tcW w:w="52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8.3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0000FF"/>
              </w:rPr>
              <w:t>504,042</w:t>
            </w:r>
          </w:p>
        </w:tc>
        <w:tc>
          <w:tcPr>
            <w:tcW w:w="240" w:type="dxa"/>
            <w:vAlign w:val="bottom"/>
          </w:tcPr>
          <w:p>
            <w:pPr>
              <w:spacing w:after="0"/>
              <w:rPr>
                <w:sz w:val="20"/>
                <w:szCs w:val="20"/>
                <w:color w:val="auto"/>
              </w:rPr>
            </w:pPr>
          </w:p>
        </w:tc>
        <w:tc>
          <w:tcPr>
            <w:tcW w:w="64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3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0000FF"/>
                <w:w w:val="91"/>
              </w:rPr>
              <w:t>See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420" w:type="dxa"/>
            <w:vAlign w:val="bottom"/>
            <w:gridSpan w:val="6"/>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0"/>
                <w:szCs w:val="20"/>
                <w:color w:val="008000"/>
                <w:w w:val="92"/>
                <w:vertAlign w:val="superscript"/>
              </w:rPr>
              <w:t>(1)(2)(4)</w:t>
            </w:r>
          </w:p>
        </w:tc>
        <w:tc>
          <w:tcPr>
            <w:tcW w:w="0" w:type="dxa"/>
            <w:vAlign w:val="bottom"/>
          </w:tcPr>
          <w:p>
            <w:pPr>
              <w:spacing w:after="0"/>
              <w:rPr>
                <w:sz w:val="1"/>
                <w:szCs w:val="1"/>
                <w:color w:val="auto"/>
              </w:rPr>
            </w:pPr>
          </w:p>
        </w:tc>
      </w:tr>
      <w:tr>
        <w:trPr>
          <w:trHeight w:val="191"/>
        </w:trPr>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0" w:type="dxa"/>
            <w:vAlign w:val="bottom"/>
            <w:gridSpan w:val="15"/>
          </w:tcPr>
          <w:p>
            <w:pPr>
              <w:jc w:val="center"/>
              <w:ind w:right="179"/>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60" w:type="dxa"/>
            <w:vAlign w:val="bottom"/>
            <w:gridSpan w:val="12"/>
          </w:tcPr>
          <w:p>
            <w:pPr>
              <w:jc w:val="center"/>
              <w:ind w:right="20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26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3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82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2"/>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w w:val="96"/>
              </w:rPr>
              <w:t>Derivative Security (Instr.</w:t>
            </w:r>
          </w:p>
        </w:tc>
        <w:tc>
          <w:tcPr>
            <w:tcW w:w="1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line="121" w:lineRule="exact"/>
              <w:rPr>
                <w:sz w:val="20"/>
                <w:szCs w:val="20"/>
                <w:color w:val="auto"/>
              </w:rPr>
            </w:pPr>
            <w:r>
              <w:rPr>
                <w:rFonts w:ascii="Arial" w:cs="Arial" w:eastAsia="Arial" w:hAnsi="Arial"/>
                <w:sz w:val="11"/>
                <w:szCs w:val="11"/>
                <w:b w:val="1"/>
                <w:bCs w:val="1"/>
                <w:color w:val="auto"/>
                <w:w w:val="96"/>
              </w:rPr>
              <w:t>Form:</w:t>
            </w:r>
          </w:p>
        </w:tc>
        <w:tc>
          <w:tcPr>
            <w:tcW w:w="300" w:type="dxa"/>
            <w:vAlign w:val="bottom"/>
          </w:tcPr>
          <w:p>
            <w:pPr>
              <w:spacing w:after="0"/>
              <w:rPr>
                <w:sz w:val="10"/>
                <w:szCs w:val="10"/>
                <w:color w:val="auto"/>
              </w:rPr>
            </w:pPr>
          </w:p>
        </w:tc>
        <w:tc>
          <w:tcPr>
            <w:tcW w:w="820" w:type="dxa"/>
            <w:vAlign w:val="bottom"/>
            <w:tcBorders>
              <w:right w:val="single" w:sz="8" w:color="2C2C2C"/>
            </w:tcBorders>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3 and 4)</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2"/>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Owned</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2"/>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Contract</w:t>
            </w: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8.3</w:t>
            </w:r>
            <w:r>
              <w:rPr>
                <w:rFonts w:ascii="Arial" w:cs="Arial" w:eastAsia="Arial" w:hAnsi="Arial"/>
                <w:sz w:val="20"/>
                <w:szCs w:val="20"/>
                <w:color w:val="008000"/>
                <w:vertAlign w:val="superscript"/>
              </w:rPr>
              <w:t>(3)</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2"/>
                <w:szCs w:val="12"/>
                <w:color w:val="0000FF"/>
                <w:w w:val="97"/>
              </w:rPr>
              <w:t>1,303,187</w:t>
            </w:r>
            <w:r>
              <w:rPr>
                <w:rFonts w:ascii="Arial" w:cs="Arial" w:eastAsia="Arial" w:hAnsi="Arial"/>
                <w:sz w:val="20"/>
                <w:szCs w:val="20"/>
                <w:color w:val="008000"/>
                <w:w w:val="97"/>
                <w:vertAlign w:val="superscript"/>
              </w:rPr>
              <w:t>(3)</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color w:val="0000FF"/>
              </w:rPr>
              <w:t>Shares of</w:t>
            </w:r>
          </w:p>
        </w:tc>
        <w:tc>
          <w:tcPr>
            <w:tcW w:w="860" w:type="dxa"/>
            <w:vAlign w:val="bottom"/>
            <w:gridSpan w:val="3"/>
            <w:vMerge w:val="restart"/>
          </w:tcPr>
          <w:p>
            <w:pPr>
              <w:ind w:left="60"/>
              <w:spacing w:after="0"/>
              <w:rPr>
                <w:sz w:val="20"/>
                <w:szCs w:val="20"/>
                <w:color w:val="auto"/>
              </w:rPr>
            </w:pPr>
            <w:r>
              <w:rPr>
                <w:rFonts w:ascii="Arial" w:cs="Arial" w:eastAsia="Arial" w:hAnsi="Arial"/>
                <w:sz w:val="16"/>
                <w:szCs w:val="16"/>
                <w:color w:val="0000FF"/>
                <w:w w:val="89"/>
              </w:rPr>
              <w:t>1,303,187</w:t>
            </w:r>
            <w:r>
              <w:rPr>
                <w:rFonts w:ascii="Arial" w:cs="Arial" w:eastAsia="Arial" w:hAnsi="Arial"/>
                <w:sz w:val="20"/>
                <w:szCs w:val="20"/>
                <w:color w:val="008000"/>
                <w:w w:val="89"/>
                <w:vertAlign w:val="superscript"/>
              </w:rPr>
              <w:t>(3)</w:t>
            </w:r>
          </w:p>
        </w:tc>
        <w:tc>
          <w:tcPr>
            <w:tcW w:w="70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8.3</w:t>
            </w:r>
            <w:r>
              <w:rPr>
                <w:rFonts w:ascii="Arial" w:cs="Arial" w:eastAsia="Arial" w:hAnsi="Arial"/>
                <w:sz w:val="20"/>
                <w:szCs w:val="20"/>
                <w:color w:val="008000"/>
                <w:vertAlign w:val="superscript"/>
              </w:rPr>
              <w:t>(3)</w:t>
            </w: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color w:val="0000FF"/>
              </w:rPr>
              <w:t>1,303,187</w:t>
            </w:r>
            <w:r>
              <w:rPr>
                <w:rFonts w:ascii="Arial" w:cs="Arial" w:eastAsia="Arial" w:hAnsi="Arial"/>
                <w:sz w:val="20"/>
                <w:szCs w:val="20"/>
                <w:color w:val="008000"/>
                <w:vertAlign w:val="superscript"/>
              </w:rPr>
              <w:t>(3)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right w:val="single" w:sz="8" w:color="2C2C2C"/>
            </w:tcBorders>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129" w:lineRule="exact"/>
              <w:rPr>
                <w:sz w:val="20"/>
                <w:szCs w:val="20"/>
                <w:color w:val="auto"/>
              </w:rPr>
            </w:pPr>
            <w:r>
              <w:rPr>
                <w:rFonts w:ascii="Arial" w:cs="Arial" w:eastAsia="Arial" w:hAnsi="Arial"/>
                <w:sz w:val="12"/>
                <w:szCs w:val="12"/>
                <w:color w:val="0000FF"/>
              </w:rPr>
              <w:t>to</w:t>
            </w:r>
          </w:p>
        </w:tc>
        <w:tc>
          <w:tcPr>
            <w:tcW w:w="720" w:type="dxa"/>
            <w:vAlign w:val="bottom"/>
            <w:vMerge w:val="continue"/>
          </w:tcPr>
          <w:p>
            <w:pPr>
              <w:spacing w:after="0"/>
              <w:rPr>
                <w:sz w:val="3"/>
                <w:szCs w:val="3"/>
                <w:color w:val="auto"/>
              </w:rPr>
            </w:pPr>
          </w:p>
        </w:tc>
        <w:tc>
          <w:tcPr>
            <w:tcW w:w="800" w:type="dxa"/>
            <w:vAlign w:val="bottom"/>
            <w:gridSpan w:val="2"/>
            <w:vMerge w:val="restart"/>
          </w:tcPr>
          <w:p>
            <w:pPr>
              <w:ind w:left="240"/>
              <w:spacing w:after="0" w:line="129" w:lineRule="exact"/>
              <w:rPr>
                <w:sz w:val="20"/>
                <w:szCs w:val="20"/>
                <w:color w:val="auto"/>
              </w:rPr>
            </w:pPr>
            <w:r>
              <w:rPr>
                <w:rFonts w:ascii="Arial" w:cs="Arial" w:eastAsia="Arial" w:hAnsi="Arial"/>
                <w:sz w:val="12"/>
                <w:szCs w:val="12"/>
                <w:color w:val="0000FF"/>
                <w:w w:val="89"/>
              </w:rPr>
              <w:t>08/28/2023</w:t>
            </w: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restart"/>
          </w:tcPr>
          <w:p>
            <w:pPr>
              <w:ind w:left="160"/>
              <w:spacing w:after="0" w:line="129" w:lineRule="exact"/>
              <w:rPr>
                <w:sz w:val="20"/>
                <w:szCs w:val="20"/>
                <w:color w:val="auto"/>
              </w:rPr>
            </w:pPr>
            <w:r>
              <w:rPr>
                <w:rFonts w:ascii="Arial" w:cs="Arial" w:eastAsia="Arial" w:hAnsi="Arial"/>
                <w:sz w:val="12"/>
                <w:szCs w:val="12"/>
                <w:color w:val="0000FF"/>
              </w:rPr>
              <w:t>P</w:t>
            </w:r>
          </w:p>
        </w:tc>
        <w:tc>
          <w:tcPr>
            <w:tcW w:w="7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color w:val="0000FF"/>
              </w:rPr>
              <w:t>09/12/2023</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color w:val="0000FF"/>
              </w:rPr>
              <w:t>09/12/2023</w:t>
            </w:r>
          </w:p>
        </w:tc>
        <w:tc>
          <w:tcPr>
            <w:tcW w:w="580" w:type="dxa"/>
            <w:vAlign w:val="bottom"/>
            <w:gridSpan w:val="2"/>
            <w:vMerge w:val="restart"/>
          </w:tcPr>
          <w:p>
            <w:pPr>
              <w:ind w:left="20"/>
              <w:spacing w:after="0" w:line="129" w:lineRule="exact"/>
              <w:rPr>
                <w:sz w:val="20"/>
                <w:szCs w:val="20"/>
                <w:color w:val="auto"/>
              </w:rPr>
            </w:pPr>
            <w:r>
              <w:rPr>
                <w:rFonts w:ascii="Arial" w:cs="Arial" w:eastAsia="Arial" w:hAnsi="Arial"/>
                <w:sz w:val="12"/>
                <w:szCs w:val="12"/>
                <w:color w:val="0000FF"/>
              </w:rPr>
              <w:t>Beneficial</w:t>
            </w:r>
          </w:p>
        </w:tc>
        <w:tc>
          <w:tcPr>
            <w:tcW w:w="860" w:type="dxa"/>
            <w:vAlign w:val="bottom"/>
            <w:gridSpan w:val="3"/>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320" w:type="dxa"/>
            <w:vAlign w:val="bottom"/>
            <w:vMerge w:val="restart"/>
          </w:tcPr>
          <w:p>
            <w:pPr>
              <w:ind w:left="260"/>
              <w:spacing w:after="0" w:line="129" w:lineRule="exact"/>
              <w:rPr>
                <w:sz w:val="20"/>
                <w:szCs w:val="20"/>
                <w:color w:val="auto"/>
              </w:rPr>
            </w:pPr>
            <w:r>
              <w:rPr>
                <w:rFonts w:ascii="Arial" w:cs="Arial" w:eastAsia="Arial" w:hAnsi="Arial"/>
                <w:sz w:val="12"/>
                <w:szCs w:val="12"/>
                <w:color w:val="0000FF"/>
              </w:rPr>
              <w:t>I</w:t>
            </w:r>
          </w:p>
        </w:tc>
        <w:tc>
          <w:tcPr>
            <w:tcW w:w="300" w:type="dxa"/>
            <w:vAlign w:val="bottom"/>
          </w:tcPr>
          <w:p>
            <w:pPr>
              <w:spacing w:after="0"/>
              <w:rPr>
                <w:sz w:val="3"/>
                <w:szCs w:val="3"/>
                <w:color w:val="auto"/>
              </w:rPr>
            </w:pPr>
          </w:p>
        </w:tc>
        <w:tc>
          <w:tcPr>
            <w:tcW w:w="820" w:type="dxa"/>
            <w:vAlign w:val="bottom"/>
            <w:tcBorders>
              <w:right w:val="single" w:sz="8" w:color="2C2C2C"/>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2C2C2C"/>
            </w:tcBorders>
            <w:gridSpan w:val="2"/>
          </w:tcPr>
          <w:p>
            <w:pPr>
              <w:ind w:left="500"/>
              <w:spacing w:after="0" w:line="85" w:lineRule="exact"/>
              <w:rPr>
                <w:sz w:val="20"/>
                <w:szCs w:val="20"/>
                <w:color w:val="auto"/>
              </w:rPr>
            </w:pPr>
            <w:r>
              <w:rPr>
                <w:rFonts w:ascii="Arial" w:cs="Arial" w:eastAsia="Arial" w:hAnsi="Arial"/>
                <w:sz w:val="9"/>
                <w:szCs w:val="9"/>
                <w:color w:val="008000"/>
              </w:rPr>
              <w:t>(3)(4)</w:t>
            </w:r>
          </w:p>
        </w:tc>
        <w:tc>
          <w:tcPr>
            <w:tcW w:w="0" w:type="dxa"/>
            <w:vAlign w:val="bottom"/>
          </w:tcPr>
          <w:p>
            <w:pPr>
              <w:spacing w:after="0"/>
              <w:rPr>
                <w:sz w:val="1"/>
                <w:szCs w:val="1"/>
                <w:color w:val="auto"/>
              </w:rPr>
            </w:pPr>
          </w:p>
        </w:tc>
      </w:tr>
      <w:tr>
        <w:trPr>
          <w:trHeight w:val="120"/>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Purchase</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color w:val="0000FF"/>
              </w:rPr>
              <w:t>Interest</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right w:val="single" w:sz="8" w:color="2C2C2C"/>
            </w:tcBorders>
            <w:gridSpan w:val="2"/>
          </w:tcPr>
          <w:p>
            <w:pPr>
              <w:ind w:left="60"/>
              <w:spacing w:after="0" w:line="121" w:lineRule="exact"/>
              <w:rPr>
                <w:sz w:val="20"/>
                <w:szCs w:val="20"/>
                <w:color w:val="auto"/>
              </w:rPr>
            </w:pPr>
            <w:r>
              <w:rPr>
                <w:rFonts w:ascii="Arial" w:cs="Arial" w:eastAsia="Arial" w:hAnsi="Arial"/>
                <w:sz w:val="12"/>
                <w:szCs w:val="12"/>
                <w:color w:val="0000FF"/>
              </w:rPr>
              <w:t>footnotes</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0"/>
        </w:trPr>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420" w:type="dxa"/>
            <w:vAlign w:val="bottom"/>
            <w:gridSpan w:val="6"/>
          </w:tcPr>
          <w:p>
            <w:pPr>
              <w:ind w:left="60"/>
              <w:spacing w:after="0" w:line="21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60" w:type="dxa"/>
            <w:vAlign w:val="bottom"/>
            <w:gridSpan w:val="7"/>
          </w:tcPr>
          <w:p>
            <w:pPr>
              <w:spacing w:after="0" w:line="200" w:lineRule="exact"/>
              <w:rPr>
                <w:rFonts w:ascii="Arial" w:cs="Arial" w:eastAsia="Arial" w:hAnsi="Arial"/>
                <w:sz w:val="19"/>
                <w:szCs w:val="19"/>
                <w:color w:val="0000EE"/>
              </w:rPr>
            </w:pPr>
            <w:hyperlink r:id="rId12">
              <w:r>
                <w:rPr>
                  <w:rFonts w:ascii="Arial" w:cs="Arial" w:eastAsia="Arial" w:hAnsi="Arial"/>
                  <w:sz w:val="19"/>
                  <w:szCs w:val="19"/>
                  <w:color w:val="0000EE"/>
                </w:rPr>
                <w:t>CG Subsidiary Holdings L.L.C.</w:t>
              </w:r>
            </w:hyperlink>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Arial" w:cs="Arial" w:eastAsia="Arial" w:hAnsi="Arial"/>
                <w:sz w:val="16"/>
                <w:szCs w:val="16"/>
                <w:color w:val="0000FF"/>
              </w:rPr>
              <w:t>C/O THE CARLYLE GROUP</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60" w:type="dxa"/>
            <w:vAlign w:val="bottom"/>
            <w:gridSpan w:val="7"/>
          </w:tcPr>
          <w:p>
            <w:pPr>
              <w:spacing w:after="0"/>
              <w:rPr>
                <w:sz w:val="20"/>
                <w:szCs w:val="20"/>
                <w:color w:val="auto"/>
              </w:rPr>
            </w:pPr>
            <w:r>
              <w:rPr>
                <w:rFonts w:ascii="Arial" w:cs="Arial" w:eastAsia="Arial" w:hAnsi="Arial"/>
                <w:sz w:val="16"/>
                <w:szCs w:val="16"/>
                <w:color w:val="0000FF"/>
                <w:w w:val="93"/>
              </w:rPr>
              <w:t>1001 PENNSYLVANIA AVE., N.W., SUITE 220S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WASHINGTON</w:t>
            </w:r>
          </w:p>
        </w:tc>
        <w:tc>
          <w:tcPr>
            <w:tcW w:w="1040" w:type="dxa"/>
            <w:vAlign w:val="bottom"/>
            <w:gridSpan w:val="3"/>
          </w:tcPr>
          <w:p>
            <w:pPr>
              <w:ind w:left="140"/>
              <w:spacing w:after="0"/>
              <w:rPr>
                <w:sz w:val="20"/>
                <w:szCs w:val="20"/>
                <w:color w:val="auto"/>
              </w:rPr>
            </w:pPr>
            <w:r>
              <w:rPr>
                <w:rFonts w:ascii="Arial" w:cs="Arial" w:eastAsia="Arial" w:hAnsi="Arial"/>
                <w:sz w:val="16"/>
                <w:szCs w:val="16"/>
                <w:color w:val="0000FF"/>
              </w:rPr>
              <w:t>DC</w:t>
            </w:r>
          </w:p>
        </w:tc>
        <w:tc>
          <w:tcPr>
            <w:tcW w:w="1740" w:type="dxa"/>
            <w:vAlign w:val="bottom"/>
            <w:gridSpan w:val="4"/>
          </w:tcPr>
          <w:p>
            <w:pPr>
              <w:ind w:left="500"/>
              <w:spacing w:after="0"/>
              <w:rPr>
                <w:sz w:val="20"/>
                <w:szCs w:val="20"/>
                <w:color w:val="auto"/>
              </w:rPr>
            </w:pPr>
            <w:r>
              <w:rPr>
                <w:rFonts w:ascii="Arial" w:cs="Arial" w:eastAsia="Arial" w:hAnsi="Arial"/>
                <w:sz w:val="16"/>
                <w:szCs w:val="16"/>
                <w:color w:val="0000FF"/>
              </w:rPr>
              <w:t>20004-2505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320" w:type="dxa"/>
            <w:vAlign w:val="bottom"/>
            <w:gridSpan w:val="5"/>
          </w:tcPr>
          <w:p>
            <w:pPr>
              <w:spacing w:after="0" w:line="200" w:lineRule="exact"/>
              <w:rPr>
                <w:rFonts w:ascii="Arial" w:cs="Arial" w:eastAsia="Arial" w:hAnsi="Arial"/>
                <w:sz w:val="19"/>
                <w:szCs w:val="19"/>
                <w:color w:val="0000EE"/>
              </w:rPr>
            </w:pPr>
            <w:hyperlink r:id="rId14">
              <w:r>
                <w:rPr>
                  <w:rFonts w:ascii="Arial" w:cs="Arial" w:eastAsia="Arial" w:hAnsi="Arial"/>
                  <w:sz w:val="19"/>
                  <w:szCs w:val="19"/>
                  <w:color w:val="0000EE"/>
                </w:rPr>
                <w:t>Carlyle Group Inc.</w:t>
              </w:r>
            </w:hyperlink>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Arial" w:cs="Arial" w:eastAsia="Arial" w:hAnsi="Arial"/>
                <w:sz w:val="16"/>
                <w:szCs w:val="16"/>
                <w:color w:val="0000FF"/>
              </w:rPr>
              <w:t>C/O THE CARLYLE GROUP</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60" w:type="dxa"/>
            <w:vAlign w:val="bottom"/>
            <w:gridSpan w:val="7"/>
          </w:tcPr>
          <w:p>
            <w:pPr>
              <w:spacing w:after="0"/>
              <w:rPr>
                <w:sz w:val="20"/>
                <w:szCs w:val="20"/>
                <w:color w:val="auto"/>
              </w:rPr>
            </w:pPr>
            <w:r>
              <w:rPr>
                <w:rFonts w:ascii="Arial" w:cs="Arial" w:eastAsia="Arial" w:hAnsi="Arial"/>
                <w:sz w:val="16"/>
                <w:szCs w:val="16"/>
                <w:color w:val="0000FF"/>
                <w:w w:val="93"/>
              </w:rPr>
              <w:t>1001 PENNSYLVANIA AVE., N.W., SUITE 220S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WASHINGTON</w:t>
            </w:r>
          </w:p>
        </w:tc>
        <w:tc>
          <w:tcPr>
            <w:tcW w:w="1040" w:type="dxa"/>
            <w:vAlign w:val="bottom"/>
            <w:gridSpan w:val="3"/>
          </w:tcPr>
          <w:p>
            <w:pPr>
              <w:ind w:left="140"/>
              <w:spacing w:after="0"/>
              <w:rPr>
                <w:sz w:val="20"/>
                <w:szCs w:val="20"/>
                <w:color w:val="auto"/>
              </w:rPr>
            </w:pPr>
            <w:r>
              <w:rPr>
                <w:rFonts w:ascii="Arial" w:cs="Arial" w:eastAsia="Arial" w:hAnsi="Arial"/>
                <w:sz w:val="16"/>
                <w:szCs w:val="16"/>
                <w:color w:val="0000FF"/>
              </w:rPr>
              <w:t>DC</w:t>
            </w:r>
          </w:p>
        </w:tc>
        <w:tc>
          <w:tcPr>
            <w:tcW w:w="1740" w:type="dxa"/>
            <w:vAlign w:val="bottom"/>
            <w:gridSpan w:val="4"/>
          </w:tcPr>
          <w:p>
            <w:pPr>
              <w:ind w:left="500"/>
              <w:spacing w:after="0"/>
              <w:rPr>
                <w:sz w:val="20"/>
                <w:szCs w:val="20"/>
                <w:color w:val="auto"/>
              </w:rPr>
            </w:pPr>
            <w:r>
              <w:rPr>
                <w:rFonts w:ascii="Arial" w:cs="Arial" w:eastAsia="Arial" w:hAnsi="Arial"/>
                <w:sz w:val="16"/>
                <w:szCs w:val="16"/>
                <w:color w:val="0000FF"/>
              </w:rPr>
              <w:t>20004-2505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560" w:type="dxa"/>
            <w:vAlign w:val="bottom"/>
            <w:tcBorders>
              <w:bottom w:val="single" w:sz="8" w:color="2C2C2C"/>
            </w:tcBorders>
            <w:gridSpan w:val="4"/>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320" w:type="dxa"/>
            <w:vAlign w:val="bottom"/>
            <w:gridSpan w:val="5"/>
          </w:tcPr>
          <w:p>
            <w:pPr>
              <w:spacing w:after="0" w:line="200" w:lineRule="exact"/>
              <w:rPr>
                <w:rFonts w:ascii="Arial" w:cs="Arial" w:eastAsia="Arial" w:hAnsi="Arial"/>
                <w:sz w:val="19"/>
                <w:szCs w:val="19"/>
                <w:color w:val="0000EE"/>
              </w:rPr>
            </w:pPr>
            <w:hyperlink r:id="rId15">
              <w:r>
                <w:rPr>
                  <w:rFonts w:ascii="Arial" w:cs="Arial" w:eastAsia="Arial" w:hAnsi="Arial"/>
                  <w:sz w:val="19"/>
                  <w:szCs w:val="19"/>
                  <w:color w:val="0000EE"/>
                </w:rPr>
                <w:t>Carlyle Holdings I GP Inc.</w:t>
              </w:r>
            </w:hyperlink>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Arial" w:cs="Arial" w:eastAsia="Arial" w:hAnsi="Arial"/>
                <w:sz w:val="16"/>
                <w:szCs w:val="16"/>
                <w:color w:val="0000FF"/>
              </w:rPr>
              <w:t>C/O THE CARLYLE GROUP</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60" w:type="dxa"/>
            <w:vAlign w:val="bottom"/>
            <w:gridSpan w:val="7"/>
          </w:tcPr>
          <w:p>
            <w:pPr>
              <w:spacing w:after="0"/>
              <w:rPr>
                <w:sz w:val="20"/>
                <w:szCs w:val="20"/>
                <w:color w:val="auto"/>
              </w:rPr>
            </w:pPr>
            <w:r>
              <w:rPr>
                <w:rFonts w:ascii="Arial" w:cs="Arial" w:eastAsia="Arial" w:hAnsi="Arial"/>
                <w:sz w:val="16"/>
                <w:szCs w:val="16"/>
                <w:color w:val="0000FF"/>
                <w:w w:val="93"/>
              </w:rPr>
              <w:t>1001 PENNSYLVANIA AVE., N.W., SUITE 220S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WASHINGTON</w:t>
            </w:r>
          </w:p>
        </w:tc>
        <w:tc>
          <w:tcPr>
            <w:tcW w:w="1040" w:type="dxa"/>
            <w:vAlign w:val="bottom"/>
            <w:gridSpan w:val="3"/>
          </w:tcPr>
          <w:p>
            <w:pPr>
              <w:ind w:left="140"/>
              <w:spacing w:after="0"/>
              <w:rPr>
                <w:sz w:val="20"/>
                <w:szCs w:val="20"/>
                <w:color w:val="auto"/>
              </w:rPr>
            </w:pPr>
            <w:r>
              <w:rPr>
                <w:rFonts w:ascii="Arial" w:cs="Arial" w:eastAsia="Arial" w:hAnsi="Arial"/>
                <w:sz w:val="16"/>
                <w:szCs w:val="16"/>
                <w:color w:val="0000FF"/>
              </w:rPr>
              <w:t>DC</w:t>
            </w:r>
          </w:p>
        </w:tc>
        <w:tc>
          <w:tcPr>
            <w:tcW w:w="1740" w:type="dxa"/>
            <w:vAlign w:val="bottom"/>
            <w:gridSpan w:val="4"/>
          </w:tcPr>
          <w:p>
            <w:pPr>
              <w:ind w:left="500"/>
              <w:spacing w:after="0"/>
              <w:rPr>
                <w:sz w:val="20"/>
                <w:szCs w:val="20"/>
                <w:color w:val="auto"/>
              </w:rPr>
            </w:pPr>
            <w:r>
              <w:rPr>
                <w:rFonts w:ascii="Arial" w:cs="Arial" w:eastAsia="Arial" w:hAnsi="Arial"/>
                <w:sz w:val="16"/>
                <w:szCs w:val="16"/>
                <w:color w:val="0000FF"/>
              </w:rPr>
              <w:t>20004-2505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7020560</wp:posOffset>
            </wp:positionH>
            <wp:positionV relativeFrom="paragraph">
              <wp:posOffset>-6285865</wp:posOffset>
            </wp:positionV>
            <wp:extent cx="27940" cy="1500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940" cy="150050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33020" cy="1733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3020" cy="173355"/>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54" w:orient="portrait"/>
          <w:cols w:equalWidth="0" w:num="1">
            <w:col w:w="11100"/>
          </w:cols>
          <w:pgMar w:left="440" w:top="217" w:right="359" w:bottom="0" w:gutter="0" w:footer="0" w:header="0"/>
          <w:type w:val="continuous"/>
        </w:sectPr>
      </w:pPr>
    </w:p>
    <w:bookmarkStart w:id="1" w:name="page2"/>
    <w:bookmarkEnd w:id="1"/>
    <w:p>
      <w:pPr>
        <w:ind w:left="100"/>
        <w:spacing w:after="0"/>
        <w:rPr>
          <w:rFonts w:ascii="Arial" w:cs="Arial" w:eastAsia="Arial" w:hAnsi="Arial"/>
          <w:sz w:val="19"/>
          <w:szCs w:val="19"/>
          <w:u w:val="single" w:color="auto"/>
          <w:color w:val="0000EE"/>
        </w:rPr>
      </w:pPr>
      <w:hyperlink r:id="rId18">
        <w:r>
          <w:rPr>
            <w:rFonts w:ascii="Arial" w:cs="Arial" w:eastAsia="Arial" w:hAnsi="Arial"/>
            <w:sz w:val="19"/>
            <w:szCs w:val="19"/>
            <w:u w:val="single" w:color="auto"/>
            <w:color w:val="0000EE"/>
          </w:rPr>
          <w:t>Carlyle Holdings I GP Sub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-133350</wp:posOffset>
            </wp:positionV>
            <wp:extent cx="2814955" cy="3084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4955" cy="308483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6"/>
                <w:szCs w:val="16"/>
                <w:color w:val="0000FF"/>
              </w:rPr>
              <w:t>C/O THE CARLYLE GROUP</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Arial" w:cs="Arial" w:eastAsia="Arial" w:hAnsi="Arial"/>
                <w:sz w:val="16"/>
                <w:szCs w:val="16"/>
                <w:color w:val="0000FF"/>
              </w:rPr>
              <w:t>1001 PENNSYLVANIA AVE., N.W., SUITE 220S</w:t>
            </w:r>
          </w:p>
        </w:tc>
      </w:tr>
      <w:tr>
        <w:trPr>
          <w:trHeight w:val="139"/>
        </w:trPr>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3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6"/>
                <w:szCs w:val="16"/>
                <w:color w:val="0000FF"/>
              </w:rPr>
              <w:t>WASHINGTON</w:t>
            </w:r>
          </w:p>
        </w:tc>
        <w:tc>
          <w:tcPr>
            <w:tcW w:w="1320" w:type="dxa"/>
            <w:vAlign w:val="bottom"/>
            <w:gridSpan w:val="2"/>
          </w:tcPr>
          <w:p>
            <w:pPr>
              <w:ind w:left="200"/>
              <w:spacing w:after="0"/>
              <w:rPr>
                <w:sz w:val="20"/>
                <w:szCs w:val="20"/>
                <w:color w:val="auto"/>
              </w:rPr>
            </w:pPr>
            <w:r>
              <w:rPr>
                <w:rFonts w:ascii="Arial" w:cs="Arial" w:eastAsia="Arial" w:hAnsi="Arial"/>
                <w:sz w:val="16"/>
                <w:szCs w:val="16"/>
                <w:color w:val="0000FF"/>
              </w:rPr>
              <w:t>DC</w:t>
            </w:r>
          </w:p>
        </w:tc>
        <w:tc>
          <w:tcPr>
            <w:tcW w:w="1640" w:type="dxa"/>
            <w:vAlign w:val="bottom"/>
          </w:tcPr>
          <w:p>
            <w:pPr>
              <w:ind w:left="280"/>
              <w:spacing w:after="0"/>
              <w:rPr>
                <w:sz w:val="20"/>
                <w:szCs w:val="20"/>
                <w:color w:val="auto"/>
              </w:rPr>
            </w:pPr>
            <w:r>
              <w:rPr>
                <w:rFonts w:ascii="Arial" w:cs="Arial" w:eastAsia="Arial" w:hAnsi="Arial"/>
                <w:sz w:val="16"/>
                <w:szCs w:val="16"/>
                <w:color w:val="0000FF"/>
              </w:rPr>
              <w:t>20004-2505</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4"/>
        </w:trPr>
        <w:tc>
          <w:tcPr>
            <w:tcW w:w="26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540" w:type="dxa"/>
            <w:vAlign w:val="bottom"/>
            <w:gridSpan w:val="3"/>
          </w:tcPr>
          <w:p>
            <w:pPr>
              <w:spacing w:after="0" w:line="200" w:lineRule="exact"/>
              <w:rPr>
                <w:rFonts w:ascii="Arial" w:cs="Arial" w:eastAsia="Arial" w:hAnsi="Arial"/>
                <w:sz w:val="19"/>
                <w:szCs w:val="19"/>
                <w:color w:val="0000EE"/>
              </w:rPr>
            </w:pPr>
            <w:hyperlink r:id="rId20">
              <w:r>
                <w:rPr>
                  <w:rFonts w:ascii="Arial" w:cs="Arial" w:eastAsia="Arial" w:hAnsi="Arial"/>
                  <w:sz w:val="19"/>
                  <w:szCs w:val="19"/>
                  <w:color w:val="0000EE"/>
                </w:rPr>
                <w:t>Carlyle Holdings I L.P.</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6"/>
                <w:szCs w:val="16"/>
                <w:color w:val="0000FF"/>
              </w:rPr>
              <w:t>C/O THE CARLYLE GROUP</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Arial" w:cs="Arial" w:eastAsia="Arial" w:hAnsi="Arial"/>
                <w:sz w:val="16"/>
                <w:szCs w:val="16"/>
                <w:color w:val="0000FF"/>
              </w:rPr>
              <w:t>1001 PENNSYLVANIA AVE., N.W., SUITE 220S</w:t>
            </w:r>
          </w:p>
        </w:tc>
      </w:tr>
      <w:tr>
        <w:trPr>
          <w:trHeight w:val="139"/>
        </w:trPr>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3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6"/>
                <w:szCs w:val="16"/>
                <w:color w:val="0000FF"/>
              </w:rPr>
              <w:t>WASHINGTON</w:t>
            </w:r>
          </w:p>
        </w:tc>
        <w:tc>
          <w:tcPr>
            <w:tcW w:w="1320" w:type="dxa"/>
            <w:vAlign w:val="bottom"/>
            <w:gridSpan w:val="2"/>
          </w:tcPr>
          <w:p>
            <w:pPr>
              <w:ind w:left="200"/>
              <w:spacing w:after="0"/>
              <w:rPr>
                <w:sz w:val="20"/>
                <w:szCs w:val="20"/>
                <w:color w:val="auto"/>
              </w:rPr>
            </w:pPr>
            <w:r>
              <w:rPr>
                <w:rFonts w:ascii="Arial" w:cs="Arial" w:eastAsia="Arial" w:hAnsi="Arial"/>
                <w:sz w:val="16"/>
                <w:szCs w:val="16"/>
                <w:color w:val="0000FF"/>
              </w:rPr>
              <w:t>DC</w:t>
            </w:r>
          </w:p>
        </w:tc>
        <w:tc>
          <w:tcPr>
            <w:tcW w:w="1640" w:type="dxa"/>
            <w:vAlign w:val="bottom"/>
          </w:tcPr>
          <w:p>
            <w:pPr>
              <w:ind w:left="280"/>
              <w:spacing w:after="0"/>
              <w:rPr>
                <w:sz w:val="20"/>
                <w:szCs w:val="20"/>
                <w:color w:val="auto"/>
              </w:rPr>
            </w:pPr>
            <w:r>
              <w:rPr>
                <w:rFonts w:ascii="Arial" w:cs="Arial" w:eastAsia="Arial" w:hAnsi="Arial"/>
                <w:sz w:val="16"/>
                <w:szCs w:val="16"/>
                <w:color w:val="0000FF"/>
              </w:rPr>
              <w:t>20004-2505</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120" w:hanging="8"/>
        <w:spacing w:after="0" w:line="239" w:lineRule="auto"/>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18, 2023, CG Subsidiary Holdings, L.L.C. ("CG Sub Holdings"), commenced a tender offer (as amended and supplemented from time to time, the "Tender Offer") to purchase up to $25,000,006.70 in value of outstanding shares of beneficial interest in the Issuer (the "Shares"). The Tender Offer expired at 11:59 P.M., New York City time, on August 28, 2023 (the "Expiration Date"). A total of approximately 7,477,489 Shares were validly tendered and not withdrawn in connection with the Tender Offer. CG Sub Holdings accepted for purchase 3,012,049 of such Shares. The price per Share paid by CG Sub Holdings was $8.30 (the "Offer Price"), which equaled the net asset value per Share on August 14, 2023 and calculated on the following day.</w:t>
      </w:r>
    </w:p>
    <w:p>
      <w:pPr>
        <w:spacing w:after="0" w:line="27" w:lineRule="exact"/>
        <w:rPr>
          <w:rFonts w:ascii="Arial" w:cs="Arial" w:eastAsia="Arial" w:hAnsi="Arial"/>
          <w:sz w:val="12"/>
          <w:szCs w:val="12"/>
          <w:color w:val="008000"/>
        </w:rPr>
      </w:pPr>
    </w:p>
    <w:p>
      <w:pPr>
        <w:ind w:left="40" w:right="120" w:hanging="8"/>
        <w:spacing w:after="0" w:line="256" w:lineRule="auto"/>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Tender Offer and related transactions, CG Sub Holdings will purchase an additional 504,042 Shares from existing shareholders of the Issuer for the Offer Price. Such purchase is expected to close on September 12, 2023.</w:t>
      </w:r>
    </w:p>
    <w:p>
      <w:pPr>
        <w:spacing w:after="0" w:line="18" w:lineRule="exact"/>
        <w:rPr>
          <w:rFonts w:ascii="Arial" w:cs="Arial" w:eastAsia="Arial" w:hAnsi="Arial"/>
          <w:sz w:val="12"/>
          <w:szCs w:val="12"/>
          <w:color w:val="008000"/>
        </w:rPr>
      </w:pPr>
    </w:p>
    <w:p>
      <w:pPr>
        <w:jc w:val="both"/>
        <w:ind w:left="40" w:right="200" w:hanging="8"/>
        <w:spacing w:after="0" w:line="243" w:lineRule="auto"/>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Tender Offer and related transactions, CG Sub Holdings will purchase an additional number of newly issued Shares from the Issuer at a price equal to the greater of the Offer Price and the net asset value per Share on September 12, 2023 for a total purchase price of $10,816,451.40. The number of Shares reflected above is calculated assuming such purchase occurs at the Offer Price. To the extent the purchase price is greater than the Offer Price, a fewer number of Shares will be purchased.</w:t>
      </w:r>
    </w:p>
    <w:p>
      <w:pPr>
        <w:spacing w:after="0" w:line="26" w:lineRule="exact"/>
        <w:rPr>
          <w:rFonts w:ascii="Arial" w:cs="Arial" w:eastAsia="Arial" w:hAnsi="Arial"/>
          <w:sz w:val="12"/>
          <w:szCs w:val="12"/>
          <w:color w:val="008000"/>
        </w:rPr>
      </w:pPr>
    </w:p>
    <w:p>
      <w:pPr>
        <w:ind w:left="40" w:hanging="8"/>
        <w:spacing w:after="0" w:line="276" w:lineRule="auto"/>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 Holdings (each of the foregoing entities, the "Carlyle Entities"). Each of the Carlyle Entities may be deemed to share beneficial ownership of the securities beneficially owned by CG Sub Holdings. Each of them disclaims beneficial ownership of such securities, except to the extent of their pecuniary interest therein.</w:t>
      </w:r>
    </w:p>
    <w:p>
      <w:pPr>
        <w:sectPr>
          <w:pgSz w:w="11900" w:h="16838" w:orient="portrait"/>
          <w:cols w:equalWidth="0" w:num="1">
            <w:col w:w="10920"/>
          </w:cols>
          <w:pgMar w:left="460" w:top="132" w:right="519" w:bottom="1440" w:gutter="0" w:footer="0" w:header="0"/>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-3810</wp:posOffset>
            </wp:positionV>
            <wp:extent cx="12858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L.L.C. By: /s/ Jeffrey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9823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8234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Ferguson Name: Jeffrey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909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9093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Ferguson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318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318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3308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083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THE CARLYLE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-3810</wp:posOffset>
            </wp:positionV>
            <wp:extent cx="12484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883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8839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Name: Jeffrey W. Ferguson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271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6648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6484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CARLYLE HOLDINGS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-11430</wp:posOffset>
            </wp:positionV>
            <wp:extent cx="11906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9062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INC. 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087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08735" cy="7620"/>
                    </a:xfrm>
                    <a:prstGeom prst="rect">
                      <a:avLst/>
                    </a:prstGeom>
                    <a:noFill/>
                  </pic:spPr>
                </pic:pic>
              </a:graphicData>
            </a:graphic>
          </wp:anchor>
        </w:drawing>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Name: Jeffrey W. Ferguson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3271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Managing Director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2661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6190" cy="7620"/>
                    </a:xfrm>
                    <a:prstGeom prst="rect">
                      <a:avLst/>
                    </a:prstGeom>
                    <a:noFill/>
                  </pic:spPr>
                </pic:pic>
              </a:graphicData>
            </a:graphic>
          </wp:anchor>
        </w:drawing>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3257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32575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CARLYLE HOLDINGS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-11430</wp:posOffset>
            </wp:positionV>
            <wp:extent cx="11906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9062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SUB L.L.C. By: /s/ Jeffrey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001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0015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Ferguson Name: Jeffrey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909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9093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Ferguson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318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318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Director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-8255</wp:posOffset>
            </wp:positionV>
            <wp:extent cx="11887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88720" cy="7620"/>
                    </a:xfrm>
                    <a:prstGeom prst="rect">
                      <a:avLst/>
                    </a:prstGeom>
                    <a:noFill/>
                  </pic:spPr>
                </pic:pic>
              </a:graphicData>
            </a:graphic>
          </wp:anchor>
        </w:drawing>
      </w:r>
    </w:p>
    <w:p>
      <w:pPr>
        <w:spacing w:after="0" w:line="41"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CARLYLE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-11430</wp:posOffset>
            </wp:positionV>
            <wp:extent cx="12179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1793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088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8839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Name: Jeffrey W. Ferguson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271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7588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5882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1700" w:hanging="8"/>
        <w:spacing w:after="0" w:line="312" w:lineRule="auto"/>
        <w:tabs>
          <w:tab w:leader="none" w:pos="16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0000FF"/>
        </w:rPr>
        <w:t>08/30/2023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4527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0000FF"/>
        </w:rPr>
        <w:t>08/30/2023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4527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0000FF"/>
        </w:rPr>
        <w:t>08/30/2023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4527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0000FF"/>
        </w:rPr>
        <w:t>08/30/2023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4527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0000FF"/>
        </w:rPr>
        <w:t>08/30/2023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4527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59" w:lineRule="exact"/>
        <w:rPr>
          <w:sz w:val="20"/>
          <w:szCs w:val="20"/>
          <w:color w:val="auto"/>
        </w:rPr>
      </w:pPr>
    </w:p>
    <w:p>
      <w:pPr>
        <w:sectPr>
          <w:pgSz w:w="11900" w:h="16838" w:orient="portrait"/>
          <w:cols w:equalWidth="0" w:num="2">
            <w:col w:w="8680" w:space="120"/>
            <w:col w:w="2120"/>
          </w:cols>
          <w:pgMar w:left="460" w:top="132" w:right="51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60" w:top="13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2" Type="http://schemas.openxmlformats.org/officeDocument/2006/relationships/hyperlink" Target="http://www.sec.gov/cgi-bin/browse-edgar?action=getcompany&amp;CIK=0001790577" TargetMode="External"/><Relationship Id="rId13" Type="http://schemas.openxmlformats.org/officeDocument/2006/relationships/hyperlink" Target="http://www.sec.gov/cgi-bin/browse-edgar?action=getcompany&amp;CIK=0001517767" TargetMode="External"/><Relationship Id="rId14" Type="http://schemas.openxmlformats.org/officeDocument/2006/relationships/hyperlink" Target="http://www.sec.gov/cgi-bin/browse-edgar?action=getcompany&amp;CIK=0001527166" TargetMode="External"/><Relationship Id="rId15" Type="http://schemas.openxmlformats.org/officeDocument/2006/relationships/hyperlink" Target="http://www.sec.gov/cgi-bin/browse-edgar?action=getcompany&amp;CIK=0001548626" TargetMode="External"/><Relationship Id="rId18" Type="http://schemas.openxmlformats.org/officeDocument/2006/relationships/hyperlink" Target="http://www.sec.gov/cgi-bin/browse-edgar?action=getcompany&amp;CIK=0001548627" TargetMode="External"/><Relationship Id="rId20" Type="http://schemas.openxmlformats.org/officeDocument/2006/relationships/hyperlink" Target="http://www.sec.gov/cgi-bin/browse-edgar?action=getcompany&amp;CIK=0001548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2023-08-30T16:43:34Z</dcterms:created>
  <dcterms:modified xsi:type="dcterms:W3CDTF">2023-08-30T16:43:34Z</dcterms:modified>
</cp:coreProperties>
</file>