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tbl>
      <w:tblPr>
        <w:tblW w:w="6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36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</w:rPr>
        <w:t>UNITED STATES</w:t>
      </w:r>
    </w:p>
    <w:p>
      <w:pPr>
        <w:pStyle w:val="TextBody"/>
        <w:bidi w:val="0"/>
        <w:spacing w:lineRule="atLeast" w:line="36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</w:rPr>
        <w:t>SECURITIES AND EXCHANGE COMMISSION</w:t>
      </w:r>
    </w:p>
    <w:p>
      <w:pPr>
        <w:pStyle w:val="TextBody"/>
        <w:bidi w:val="0"/>
        <w:spacing w:lineRule="atLeast" w:line="24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</w:rPr>
        <w:t>Washington, DC 20549</w:t>
      </w:r>
    </w:p>
    <w:tbl>
      <w:tblPr>
        <w:tblW w:w="6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360" w:before="0" w:after="0"/>
        <w:jc w:val="left"/>
        <w:rPr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</w:rPr>
        <w:t xml:space="preserve">FORM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</w:rPr>
        <w:t>8-K</w:t>
      </w:r>
      <w:r>
        <w:rPr>
          <w:caps w:val="false"/>
          <w:smallCaps w:val="false"/>
          <w:sz w:val="36"/>
        </w:rPr>
        <w:t xml:space="preserve"> </w:t>
      </w:r>
    </w:p>
    <w:tbl>
      <w:tblPr>
        <w:tblW w:w="6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8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8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8"/>
        </w:rPr>
        <w:t>CURRENT REPORT</w:t>
      </w:r>
    </w:p>
    <w:p>
      <w:pPr>
        <w:pStyle w:val="TextBody"/>
        <w:bidi w:val="0"/>
        <w:spacing w:lineRule="atLeast" w:line="24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</w:rPr>
        <w:t>Pursuant to Section 13 OR 15(d) of the</w:t>
      </w:r>
    </w:p>
    <w:p>
      <w:pPr>
        <w:pStyle w:val="TextBody"/>
        <w:bidi w:val="0"/>
        <w:spacing w:lineRule="atLeast" w:line="24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</w:rPr>
        <w:t>Securities Exchange Act of 1934</w:t>
      </w:r>
    </w:p>
    <w:p>
      <w:pPr>
        <w:pStyle w:val="TextBody"/>
        <w:bidi w:val="0"/>
        <w:spacing w:lineRule="atLeast" w:line="24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</w:rPr>
        <w:t xml:space="preserve">Date of Report (Date of earliest event reported):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</w:rPr>
        <w:t>August 14, 2026</w:t>
      </w:r>
      <w:r>
        <w:rPr>
          <w:caps w:val="false"/>
          <w:smallCaps w:val="false"/>
          <w:sz w:val="24"/>
        </w:rPr>
        <w:t xml:space="preserve"> </w:t>
      </w:r>
    </w:p>
    <w:tbl>
      <w:tblPr>
        <w:tblW w:w="6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480" w:before="0" w:after="0"/>
        <w:jc w:val="left"/>
        <w:rPr>
          <w:sz w:val="48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48"/>
          <w:u w:val="none"/>
          <w:effect w:val="none"/>
        </w:rPr>
        <w:t>Carlyle Credit Income Fund</w:t>
      </w:r>
      <w:r>
        <w:rPr>
          <w:caps w:val="false"/>
          <w:smallCaps w:val="false"/>
          <w:sz w:val="48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(Exact name of registrant as specified in its charter)</w:t>
      </w:r>
    </w:p>
    <w:tbl>
      <w:tblPr>
        <w:tblW w:w="6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9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46"/>
        <w:gridCol w:w="146"/>
        <w:gridCol w:w="1066"/>
        <w:gridCol w:w="109"/>
        <w:gridCol w:w="146"/>
        <w:gridCol w:w="1486"/>
      </w:tblGrid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Delaware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811-22554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48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45-2904236</w:t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(State or Other Jurisdiction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of Incorporation)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(Commission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File Number)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4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(IRS Employer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Identification No.)</w:t>
            </w:r>
          </w:p>
        </w:tc>
      </w:tr>
      <w:tr>
        <w:trPr/>
        <w:tc>
          <w:tcPr>
            <w:tcW w:w="3358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99" w:type="dxa"/>
            <w:gridSpan w:val="6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   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One Vanderbilt Avenue, Suite 3400</w:t>
            </w:r>
          </w:p>
        </w:tc>
      </w:tr>
      <w:tr>
        <w:trPr/>
        <w:tc>
          <w:tcPr>
            <w:tcW w:w="5099" w:type="dxa"/>
            <w:gridSpan w:val="6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</w:rPr>
              <w:t xml:space="preserve"> 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New York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  <w:t xml:space="preserve">,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New York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10017</w:t>
            </w:r>
          </w:p>
        </w:tc>
      </w:tr>
      <w:tr>
        <w:trPr/>
        <w:tc>
          <w:tcPr>
            <w:tcW w:w="5099" w:type="dxa"/>
            <w:gridSpan w:val="6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   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(Address of Principal Executive Offices, Zip Code)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212</w:t>
      </w: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 xml:space="preserve">)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813-4900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16"/>
        </w:rPr>
        <w:t>(Registrant’s Telephone Number, Including Area Code)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 Applicable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16"/>
        </w:rPr>
        <w:t>(Former Name or Former Address, if Changed Since Last Report)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Check the appropriate box below if the Form 8-K filing is intended to simultaneously satisfy the filing obligation of the registrant under any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of the following provisions (see General Instruction A.2. below):</w:t>
      </w:r>
    </w:p>
    <w:tbl>
      <w:tblPr>
        <w:tblW w:w="843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810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Written communications pursuant to Rule 425 under the Securities Act (17 CFR 230.425)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Soliciting material pursuant to Rule 14a-12 under the Exchange Act (17 CFR 240.14a-12)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Pre-commencement communications pursuant to Rule 14d-2(b) under the Exchange Act (17 CFR 240.14d-2(b))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Pre-commencement communications pursuant to Rule 13e-4(c) under the Exchange Act (17 CFR 240.13e-4(c))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Securities registered pursuant to Section 12(b) of the Act:</w:t>
      </w:r>
    </w:p>
    <w:tbl>
      <w:tblPr>
        <w:tblW w:w="616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96"/>
        <w:gridCol w:w="1456"/>
        <w:gridCol w:w="3316"/>
      </w:tblGrid>
      <w:tr>
        <w:trPr/>
        <w:tc>
          <w:tcPr>
            <w:tcW w:w="1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Title of each class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Trading Symbol(s)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Name of each exchange on which registered</w:t>
            </w:r>
          </w:p>
        </w:tc>
      </w:tr>
      <w:tr>
        <w:trPr/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Common Shares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CCIF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New York Stock Exchange</w:t>
            </w:r>
          </w:p>
        </w:tc>
      </w:tr>
      <w:tr>
        <w:trPr/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Preferred Shares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CCID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New York Stock Exchange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Indicate by check mark whether the registrant is an emerging growth company as defined in Rule 405 of the Securities Act of 1933 (§230.405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of this chapter) or Rule 12b-2 of the Securities Exchange Act of 1934 (§240.12b-2 of this chapter).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Emerging growth company 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☐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If an emerging growth company, indicate by check mark if the registrant has elected not to use the extended transition period for complying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with any new or revised financial accounting standards provided pursuant to Section 13(a) of the Exchange Act. </w:t>
      </w:r>
      <w:r>
        <w:rPr>
          <w:caps w:val="false"/>
          <w:smallCaps w:val="false"/>
        </w:rPr>
        <w:t>☐</w:t>
      </w:r>
    </w:p>
    <w:tbl>
      <w:tblPr>
        <w:tblW w:w="6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Item 8.01 – Other Events.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Management’s unaudited net asset value per common share as of July 31, 2026 was $3.24.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SIGNATURES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Pursuant to the requirements of the Securities Exchange Act of 1934, the Registrant has duly caused this report to be signed 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its behalf by the undersigned hereunto duly authorized.</w:t>
      </w:r>
    </w:p>
    <w:tbl>
      <w:tblPr>
        <w:tblW w:w="592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56"/>
        <w:gridCol w:w="146"/>
        <w:gridCol w:w="406"/>
        <w:gridCol w:w="146"/>
        <w:gridCol w:w="3166"/>
      </w:tblGrid>
      <w:tr>
        <w:trPr/>
        <w:tc>
          <w:tcPr>
            <w:tcW w:w="2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CARLYLE CREDIT INCOME FUND</w:t>
            </w:r>
          </w:p>
        </w:tc>
      </w:tr>
      <w:tr>
        <w:trPr/>
        <w:tc>
          <w:tcPr>
            <w:tcW w:w="2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(Registrant)</w:t>
            </w:r>
          </w:p>
        </w:tc>
      </w:tr>
      <w:tr>
        <w:trPr/>
        <w:tc>
          <w:tcPr>
            <w:tcW w:w="2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Dated: August 14, 2026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By: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16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/s/ Nelson Joseph</w:t>
            </w:r>
          </w:p>
        </w:tc>
      </w:tr>
      <w:tr>
        <w:trPr/>
        <w:tc>
          <w:tcPr>
            <w:tcW w:w="2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16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Name: Nelson Joseph</w:t>
            </w:r>
          </w:p>
        </w:tc>
      </w:tr>
      <w:tr>
        <w:trPr/>
        <w:tc>
          <w:tcPr>
            <w:tcW w:w="2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Title: Principal Financial Officer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r>
        <w:br w:type="page"/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383</Words>
  <Characters>2111</Characters>
  <CharactersWithSpaces>2465</CharactersWithSpaces>
  <Paragraphs>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