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DC 20549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 13 OR 15(d) of the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Securities Exchange Act of 1934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Date of Report (Date of earliest event reported):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July 15, 2026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80" w:before="0" w:after="0"/>
        <w:jc w:val="left"/>
        <w:rPr>
          <w:sz w:val="4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Carlyle Credit Income Fund</w:t>
      </w:r>
      <w:r>
        <w:rPr>
          <w:caps w:val="false"/>
          <w:smallCaps w:val="false"/>
          <w:sz w:val="48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46"/>
        <w:gridCol w:w="1066"/>
        <w:gridCol w:w="109"/>
        <w:gridCol w:w="146"/>
        <w:gridCol w:w="1486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Delaware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811-22554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45-2904236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 Incorporation)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(Commission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Number)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335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One Vanderbilt Avenue, Suite 3400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 xml:space="preserve">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10017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(Address of Principal Executive Offices, 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813-4900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(Former Name or Former Address, if Changed Since Last Report)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under any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the following provisions (see General Instruction A.2. below):</w:t>
      </w:r>
    </w:p>
    <w:tbl>
      <w:tblPr>
        <w:tblW w:w="84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6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6"/>
        <w:gridCol w:w="1456"/>
        <w:gridCol w:w="3316"/>
      </w:tblGrid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Symbol(s)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CCIF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CCID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1933 (§230.405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this chapter) or Rule 12b-2 of the Securities Exchange Act of 1934 (§240.12b-2 of this chapter).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complying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with any new or revised financial accounting standards provided pursuant to Section 13(a) of the Exchange Act. </w:t>
      </w:r>
      <w:r>
        <w:rPr>
          <w:caps w:val="false"/>
          <w:smallCaps w:val="false"/>
        </w:rPr>
        <w:t>☐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 8.01 – Other Events.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Management’s unaudited net asset value per common share as of June 30, 2026 was $3.32.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signed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its behalf by the undersigned hereunto duly authorized.</w:t>
      </w:r>
    </w:p>
    <w:tbl>
      <w:tblPr>
        <w:tblW w:w="56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146"/>
        <w:gridCol w:w="406"/>
        <w:gridCol w:w="146"/>
        <w:gridCol w:w="3166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CARLYLE CREDIT INCOME FUND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(Registrant)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Dated: July 15, 2026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Nelson Joseph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 Nelson Joseph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 Principal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383</Words>
  <Characters>2107</Characters>
  <CharactersWithSpaces>2461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